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5" w:rsidRPr="008B42E2" w:rsidRDefault="00282345" w:rsidP="00282345">
      <w:pPr>
        <w:pStyle w:val="Nagwek1"/>
        <w:rPr>
          <w:rFonts w:ascii="Century Gothic" w:hAnsi="Century Gothic" w:cs="Tahoma"/>
          <w:color w:val="008364"/>
          <w:sz w:val="24"/>
        </w:rPr>
      </w:pPr>
      <w:bookmarkStart w:id="0" w:name="_Toc450134676"/>
      <w:r w:rsidRPr="008B42E2">
        <w:rPr>
          <w:rFonts w:ascii="Century Gothic" w:hAnsi="Century Gothic" w:cs="Tahoma"/>
          <w:color w:val="008364"/>
          <w:sz w:val="24"/>
        </w:rPr>
        <w:t>CZĘŚĆ B. KLIENCI INSTYTUCJONALNI</w:t>
      </w:r>
      <w:bookmarkEnd w:id="0"/>
    </w:p>
    <w:p w:rsidR="00282345" w:rsidRPr="008B42E2" w:rsidRDefault="00282345" w:rsidP="00282345">
      <w:pPr>
        <w:rPr>
          <w:rFonts w:ascii="Century Gothic" w:hAnsi="Century Gothic"/>
        </w:rPr>
      </w:pPr>
    </w:p>
    <w:p w:rsidR="00282345" w:rsidRPr="008B42E2" w:rsidRDefault="00282345" w:rsidP="00282345">
      <w:pPr>
        <w:pStyle w:val="Nagwek1"/>
        <w:rPr>
          <w:rFonts w:ascii="Century Gothic" w:hAnsi="Century Gothic" w:cs="Tahoma"/>
          <w:b w:val="0"/>
          <w:bCs w:val="0"/>
          <w:i/>
          <w:iCs/>
          <w:color w:val="008364"/>
          <w:szCs w:val="20"/>
        </w:rPr>
      </w:pPr>
      <w:bookmarkStart w:id="1" w:name="_Toc450134677"/>
      <w:r w:rsidRPr="008B42E2">
        <w:rPr>
          <w:rFonts w:ascii="Century Gothic" w:hAnsi="Century Gothic" w:cs="Tahoma"/>
          <w:color w:val="008364"/>
          <w:szCs w:val="20"/>
        </w:rPr>
        <w:t>RACHUNKI</w:t>
      </w:r>
      <w:bookmarkEnd w:id="1"/>
      <w:r w:rsidRPr="008B42E2">
        <w:rPr>
          <w:rFonts w:ascii="Century Gothic" w:hAnsi="Century Gothic" w:cs="Tahoma"/>
          <w:b w:val="0"/>
          <w:bCs w:val="0"/>
          <w:i/>
          <w:iCs/>
          <w:color w:val="008364"/>
          <w:szCs w:val="20"/>
        </w:rPr>
        <w:t xml:space="preserve"> </w:t>
      </w: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sz w:val="18"/>
          <w:szCs w:val="18"/>
        </w:rPr>
      </w:pPr>
      <w:bookmarkStart w:id="2" w:name="_Toc234893374"/>
      <w:bookmarkStart w:id="3" w:name="_Toc255307149"/>
      <w:bookmarkStart w:id="4" w:name="_Toc450134678"/>
      <w:r w:rsidRPr="008B42E2">
        <w:rPr>
          <w:rFonts w:ascii="Century Gothic" w:hAnsi="Century Gothic" w:cs="Tahoma"/>
          <w:color w:val="008364"/>
          <w:sz w:val="18"/>
          <w:szCs w:val="18"/>
        </w:rPr>
        <w:t>Rachunki w złotych</w:t>
      </w:r>
      <w:bookmarkEnd w:id="3"/>
      <w:bookmarkEnd w:id="4"/>
    </w:p>
    <w:tbl>
      <w:tblPr>
        <w:tblW w:w="10348" w:type="dxa"/>
        <w:tblBorders>
          <w:top w:val="single" w:sz="18" w:space="0" w:color="99CC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767"/>
        <w:gridCol w:w="2907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6767" w:type="dxa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Rodzaj rachunku</w:t>
            </w:r>
          </w:p>
        </w:tc>
        <w:tc>
          <w:tcPr>
            <w:tcW w:w="2907" w:type="dxa"/>
            <w:tcBorders>
              <w:top w:val="single" w:sz="18" w:space="0" w:color="CAD238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676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1.</w:t>
            </w:r>
          </w:p>
        </w:tc>
        <w:tc>
          <w:tcPr>
            <w:tcW w:w="67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57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Rachunki bieżące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  <w:t>1.1</w:t>
            </w:r>
          </w:p>
        </w:tc>
        <w:tc>
          <w:tcPr>
            <w:tcW w:w="67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57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 xml:space="preserve">Rachunek bieżący i pomocniczy 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</w:t>
            </w:r>
            <w:r>
              <w:rPr>
                <w:rFonts w:ascii="Century Gothic" w:hAnsi="Century Gothic" w:cs="Tahoma"/>
                <w:sz w:val="18"/>
                <w:szCs w:val="18"/>
              </w:rPr>
              <w:t>08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  <w:t>1.2</w:t>
            </w:r>
          </w:p>
        </w:tc>
        <w:tc>
          <w:tcPr>
            <w:tcW w:w="67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57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 xml:space="preserve">Rachunki prowadzone w ramach pakietów </w:t>
            </w:r>
            <w:r>
              <w:rPr>
                <w:rFonts w:ascii="Century Gothic" w:hAnsi="Century Gothic" w:cs="Tahoma"/>
                <w:sz w:val="18"/>
                <w:szCs w:val="18"/>
              </w:rPr>
              <w:t>NBS BIZNES, NBSBIZNES PLUS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</w:t>
            </w:r>
            <w:r>
              <w:rPr>
                <w:rFonts w:ascii="Century Gothic" w:hAnsi="Century Gothic" w:cs="Tahoma"/>
                <w:sz w:val="18"/>
                <w:szCs w:val="18"/>
              </w:rPr>
              <w:t>08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  <w:t xml:space="preserve">1.3          </w:t>
            </w:r>
          </w:p>
        </w:tc>
        <w:tc>
          <w:tcPr>
            <w:tcW w:w="67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57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Rachunki VAT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0,00%</w:t>
            </w:r>
          </w:p>
        </w:tc>
      </w:tr>
    </w:tbl>
    <w:p w:rsidR="00282345" w:rsidRDefault="00282345" w:rsidP="00282345">
      <w:pPr>
        <w:rPr>
          <w:rFonts w:ascii="Century Gothic" w:hAnsi="Century Gothic" w:cs="Tahoma"/>
          <w:sz w:val="18"/>
          <w:szCs w:val="18"/>
        </w:rPr>
      </w:pPr>
    </w:p>
    <w:p w:rsidR="00282345" w:rsidRPr="00B10B08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sz w:val="18"/>
          <w:szCs w:val="18"/>
        </w:rPr>
      </w:pPr>
      <w:r w:rsidRPr="00B10B08">
        <w:rPr>
          <w:rFonts w:ascii="Century Gothic" w:hAnsi="Century Gothic" w:cs="Tahoma"/>
          <w:color w:val="008364"/>
          <w:sz w:val="18"/>
          <w:szCs w:val="18"/>
          <w:lang w:val="pl-PL"/>
        </w:rPr>
        <w:t xml:space="preserve">Zamknięte mieszkaniowe rachunki </w:t>
      </w:r>
      <w:r>
        <w:rPr>
          <w:rFonts w:ascii="Century Gothic" w:hAnsi="Century Gothic" w:cs="Tahoma"/>
          <w:color w:val="008364"/>
          <w:sz w:val="18"/>
          <w:szCs w:val="18"/>
          <w:lang w:val="pl-PL"/>
        </w:rPr>
        <w:t xml:space="preserve">powiernicze </w:t>
      </w:r>
    </w:p>
    <w:tbl>
      <w:tblPr>
        <w:tblW w:w="10206" w:type="dxa"/>
        <w:tblInd w:w="30" w:type="dxa"/>
        <w:tblBorders>
          <w:top w:val="single" w:sz="18" w:space="0" w:color="99CC00"/>
          <w:bottom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30"/>
        <w:gridCol w:w="1492"/>
        <w:gridCol w:w="1492"/>
        <w:gridCol w:w="1492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5730" w:type="dxa"/>
            <w:vMerge w:val="restart"/>
            <w:tcBorders>
              <w:top w:val="single" w:sz="18" w:space="0" w:color="CAD238"/>
              <w:bottom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Rodzaj rachunku</w:t>
            </w:r>
          </w:p>
        </w:tc>
        <w:tc>
          <w:tcPr>
            <w:tcW w:w="4476" w:type="dxa"/>
            <w:gridSpan w:val="3"/>
            <w:tcBorders>
              <w:top w:val="single" w:sz="18" w:space="0" w:color="CAD238"/>
              <w:bottom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</w:t>
            </w: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57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73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Zamknięty mieszkaniowy r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 xml:space="preserve">achunek 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powierniczy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0,00%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282345" w:rsidRDefault="00282345" w:rsidP="00282345">
      <w:pPr>
        <w:rPr>
          <w:rFonts w:ascii="Century Gothic" w:hAnsi="Century Gothic" w:cs="Tahoma"/>
          <w:sz w:val="18"/>
          <w:szCs w:val="18"/>
        </w:rPr>
      </w:pPr>
    </w:p>
    <w:p w:rsidR="00282345" w:rsidRPr="00A554AF" w:rsidRDefault="00282345" w:rsidP="00282345">
      <w:pPr>
        <w:rPr>
          <w:rFonts w:ascii="Century Gothic" w:hAnsi="Century Gothic" w:cs="Tahoma"/>
          <w:sz w:val="18"/>
          <w:szCs w:val="18"/>
        </w:rPr>
      </w:pP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sz w:val="18"/>
          <w:szCs w:val="18"/>
        </w:rPr>
      </w:pPr>
      <w:bookmarkStart w:id="5" w:name="_Toc255307150"/>
      <w:bookmarkStart w:id="6" w:name="_Toc450134679"/>
      <w:r w:rsidRPr="00EC4EE1">
        <w:rPr>
          <w:rFonts w:ascii="Century Gothic" w:hAnsi="Century Gothic" w:cs="Tahoma"/>
          <w:color w:val="008364"/>
          <w:sz w:val="18"/>
          <w:szCs w:val="18"/>
        </w:rPr>
        <w:t>Rachunki w walutach wymienialnych</w:t>
      </w:r>
      <w:bookmarkEnd w:id="5"/>
      <w:bookmarkEnd w:id="6"/>
    </w:p>
    <w:tbl>
      <w:tblPr>
        <w:tblW w:w="10206" w:type="dxa"/>
        <w:tblInd w:w="30" w:type="dxa"/>
        <w:tblBorders>
          <w:top w:val="single" w:sz="18" w:space="0" w:color="99CC00"/>
          <w:bottom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30"/>
        <w:gridCol w:w="1492"/>
        <w:gridCol w:w="1492"/>
        <w:gridCol w:w="1492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5812" w:type="dxa"/>
            <w:vMerge w:val="restart"/>
            <w:tcBorders>
              <w:top w:val="single" w:sz="18" w:space="0" w:color="CAD238"/>
              <w:bottom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bookmarkStart w:id="7" w:name="_Hlk517419600"/>
            <w:r w:rsidRPr="008B42E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Rodzaj rachunku</w:t>
            </w:r>
          </w:p>
        </w:tc>
        <w:tc>
          <w:tcPr>
            <w:tcW w:w="4536" w:type="dxa"/>
            <w:gridSpan w:val="3"/>
            <w:tcBorders>
              <w:top w:val="single" w:sz="18" w:space="0" w:color="CAD238"/>
              <w:bottom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</w:t>
            </w: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581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82"/>
          <w:tblHeader/>
        </w:trPr>
        <w:tc>
          <w:tcPr>
            <w:tcW w:w="581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USD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EUR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GBP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Rachunek bieżący i pomocniczy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0,00%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0,00%</w:t>
            </w:r>
          </w:p>
        </w:tc>
        <w:tc>
          <w:tcPr>
            <w:tcW w:w="15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0,00%</w:t>
            </w:r>
          </w:p>
        </w:tc>
      </w:tr>
      <w:bookmarkEnd w:id="7"/>
    </w:tbl>
    <w:p w:rsidR="00282345" w:rsidRPr="008B42E2" w:rsidRDefault="00282345" w:rsidP="00282345">
      <w:pPr>
        <w:pStyle w:val="Tekstpodstawowy2"/>
        <w:jc w:val="both"/>
        <w:rPr>
          <w:rFonts w:ascii="Century Gothic" w:hAnsi="Century Gothic" w:cs="Tahoma"/>
          <w:iCs/>
          <w:color w:val="auto"/>
          <w:sz w:val="20"/>
        </w:rPr>
      </w:pPr>
    </w:p>
    <w:p w:rsidR="00282345" w:rsidRDefault="00282345" w:rsidP="00282345">
      <w:pPr>
        <w:pStyle w:val="Nagwek1"/>
        <w:rPr>
          <w:rFonts w:ascii="Century Gothic" w:hAnsi="Century Gothic" w:cs="Tahoma"/>
          <w:b w:val="0"/>
          <w:bCs w:val="0"/>
          <w:color w:val="246E49"/>
          <w:szCs w:val="20"/>
          <w:lang w:val="pl-PL"/>
        </w:rPr>
      </w:pPr>
      <w:bookmarkStart w:id="8" w:name="_Toc450134680"/>
      <w:r w:rsidRPr="008B42E2">
        <w:rPr>
          <w:rFonts w:ascii="Century Gothic" w:hAnsi="Century Gothic" w:cs="Tahoma"/>
          <w:color w:val="008364"/>
          <w:szCs w:val="20"/>
        </w:rPr>
        <w:t>LOKATY</w:t>
      </w:r>
      <w:bookmarkEnd w:id="8"/>
      <w:r w:rsidRPr="008B42E2">
        <w:rPr>
          <w:rFonts w:ascii="Century Gothic" w:hAnsi="Century Gothic" w:cs="Tahoma"/>
          <w:b w:val="0"/>
          <w:bCs w:val="0"/>
          <w:color w:val="246E49"/>
          <w:szCs w:val="20"/>
        </w:rPr>
        <w:t xml:space="preserve"> </w:t>
      </w:r>
    </w:p>
    <w:p w:rsidR="00282345" w:rsidRPr="001D12F2" w:rsidRDefault="00282345" w:rsidP="00282345">
      <w:pPr>
        <w:rPr>
          <w:lang/>
        </w:rPr>
      </w:pP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/>
        </w:rPr>
      </w:pPr>
      <w:bookmarkStart w:id="9" w:name="_Toc450134681"/>
      <w:r w:rsidRPr="008B42E2">
        <w:rPr>
          <w:rFonts w:ascii="Century Gothic" w:hAnsi="Century Gothic" w:cs="Tahoma"/>
          <w:color w:val="008364"/>
          <w:sz w:val="18"/>
          <w:szCs w:val="18"/>
        </w:rPr>
        <w:t>Lokata</w:t>
      </w:r>
      <w:r>
        <w:rPr>
          <w:rFonts w:ascii="Century Gothic" w:hAnsi="Century Gothic" w:cs="Tahoma"/>
          <w:color w:val="008364"/>
          <w:sz w:val="18"/>
          <w:szCs w:val="18"/>
          <w:lang w:val="pl-PL"/>
        </w:rPr>
        <w:t xml:space="preserve"> MIG</w:t>
      </w:r>
      <w:bookmarkEnd w:id="9"/>
    </w:p>
    <w:tbl>
      <w:tblPr>
        <w:tblW w:w="10206" w:type="dxa"/>
        <w:tblInd w:w="30" w:type="dxa"/>
        <w:tblBorders>
          <w:top w:val="single" w:sz="18" w:space="0" w:color="CAD238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55"/>
        <w:gridCol w:w="6851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3355" w:type="dxa"/>
            <w:vMerge w:val="restart"/>
            <w:shd w:val="clear" w:color="auto" w:fill="auto"/>
            <w:vAlign w:val="center"/>
          </w:tcPr>
          <w:p w:rsidR="00282345" w:rsidRPr="001D12F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  <w:vertAlign w:val="superscript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minimalna kwota</w:t>
            </w: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120"/>
          <w:tblHeader/>
        </w:trPr>
        <w:tc>
          <w:tcPr>
            <w:tcW w:w="3355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stałe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55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Od 1- 4 dni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WIBID ON z dnia poprzedzającego otwarcie lokaty X wskaźnik korygujący określony w Tabeli wskaźników MIG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55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Od 5 do 21 dni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WIBID 1R z dnia poprzedzającego otwarcie lokaty X wskaźnik korygujący określony w Tabeli wskaźników MIG</w:t>
            </w:r>
          </w:p>
        </w:tc>
      </w:tr>
    </w:tbl>
    <w:p w:rsidR="00282345" w:rsidRPr="008B42E2" w:rsidRDefault="00282345" w:rsidP="00282345">
      <w:pPr>
        <w:pStyle w:val="Legenda"/>
        <w:numPr>
          <w:ilvl w:val="0"/>
          <w:numId w:val="3"/>
        </w:numPr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Według Tabeli MIG</w:t>
      </w:r>
    </w:p>
    <w:p w:rsidR="00282345" w:rsidRDefault="00282345" w:rsidP="00282345">
      <w:pPr>
        <w:rPr>
          <w:rFonts w:ascii="Century Gothic" w:hAnsi="Century Gothic"/>
          <w:sz w:val="18"/>
          <w:szCs w:val="18"/>
        </w:rPr>
      </w:pPr>
    </w:p>
    <w:p w:rsidR="00282345" w:rsidRPr="008B42E2" w:rsidRDefault="00282345" w:rsidP="00282345">
      <w:pPr>
        <w:pStyle w:val="Nagwek1"/>
        <w:spacing w:after="80"/>
        <w:rPr>
          <w:rFonts w:ascii="Century Gothic" w:hAnsi="Century Gothic"/>
        </w:rPr>
      </w:pPr>
      <w:bookmarkStart w:id="10" w:name="_Toc450134682"/>
      <w:r>
        <w:rPr>
          <w:rFonts w:ascii="Century Gothic" w:hAnsi="Century Gothic" w:cs="Tahoma"/>
          <w:color w:val="008364"/>
          <w:sz w:val="18"/>
          <w:szCs w:val="18"/>
          <w:lang w:val="pl-PL"/>
        </w:rPr>
        <w:t>TABELA  MIG</w:t>
      </w:r>
      <w:bookmarkEnd w:id="10"/>
    </w:p>
    <w:p w:rsidR="00282345" w:rsidRDefault="00282345" w:rsidP="00282345">
      <w:pPr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11"/>
        <w:gridCol w:w="1161"/>
        <w:gridCol w:w="881"/>
        <w:gridCol w:w="968"/>
        <w:gridCol w:w="825"/>
        <w:gridCol w:w="900"/>
        <w:gridCol w:w="951"/>
        <w:gridCol w:w="867"/>
        <w:gridCol w:w="1134"/>
      </w:tblGrid>
      <w:tr w:rsidR="00282345" w:rsidRPr="001D12F2" w:rsidTr="009E7284">
        <w:trPr>
          <w:trHeight w:val="920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Kwota zł/dni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10.000 do 30.000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30.001 do 50.000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50.001 do 80.000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80.001 do 99.999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100.000 do 499.999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500.000 do 749.999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750.000 do 999.999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Od 1.000.000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1-4 dni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0,479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0,687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0,710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5 dni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0,479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0,687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0,690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0,710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6 dni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0,713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7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0,721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8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0,722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9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0,723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10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0,724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11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0,725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12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0,726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13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0,727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14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0,736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15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0,737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16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0,738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17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0,739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18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0,740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19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0,456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0,741</w:t>
            </w:r>
          </w:p>
        </w:tc>
      </w:tr>
      <w:tr w:rsidR="00282345" w:rsidRPr="001D12F2" w:rsidTr="009E7284">
        <w:trPr>
          <w:trHeight w:val="255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20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0,742</w:t>
            </w:r>
          </w:p>
        </w:tc>
      </w:tr>
      <w:tr w:rsidR="00282345" w:rsidRPr="001D12F2" w:rsidTr="009E7284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sz w:val="18"/>
                <w:szCs w:val="18"/>
              </w:rPr>
              <w:t>21 dni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0,573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45" w:rsidRPr="001D12F2" w:rsidRDefault="00282345" w:rsidP="009E7284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345" w:rsidRPr="001D12F2" w:rsidRDefault="00282345" w:rsidP="009E7284">
            <w:pPr>
              <w:autoSpaceDE/>
              <w:autoSpaceDN/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1D12F2">
              <w:rPr>
                <w:rFonts w:ascii="Century Gothic" w:hAnsi="Century Gothic" w:cs="Times New Roman"/>
                <w:bCs/>
                <w:sz w:val="18"/>
                <w:szCs w:val="18"/>
              </w:rPr>
              <w:t>0,743</w:t>
            </w:r>
          </w:p>
        </w:tc>
      </w:tr>
    </w:tbl>
    <w:p w:rsidR="00282345" w:rsidRDefault="00282345" w:rsidP="00282345">
      <w:pPr>
        <w:rPr>
          <w:rFonts w:ascii="Century Gothic" w:hAnsi="Century Gothic"/>
          <w:sz w:val="18"/>
          <w:szCs w:val="18"/>
        </w:rPr>
      </w:pPr>
    </w:p>
    <w:p w:rsidR="00282345" w:rsidRPr="001D12F2" w:rsidRDefault="00282345" w:rsidP="00282345">
      <w:pPr>
        <w:rPr>
          <w:rFonts w:ascii="Century Gothic" w:hAnsi="Century Gothic"/>
          <w:sz w:val="18"/>
          <w:szCs w:val="18"/>
        </w:rPr>
      </w:pPr>
    </w:p>
    <w:p w:rsidR="00282345" w:rsidRDefault="00282345" w:rsidP="00282345">
      <w:pPr>
        <w:rPr>
          <w:rFonts w:ascii="Century Gothic" w:hAnsi="Century Gothic"/>
          <w:sz w:val="18"/>
          <w:szCs w:val="18"/>
        </w:rPr>
      </w:pP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/>
        </w:rPr>
      </w:pPr>
      <w:bookmarkStart w:id="11" w:name="_Toc450134683"/>
      <w:proofErr w:type="spellStart"/>
      <w:r>
        <w:rPr>
          <w:rFonts w:ascii="Century Gothic" w:hAnsi="Century Gothic" w:cs="Tahoma"/>
          <w:color w:val="008364"/>
          <w:sz w:val="18"/>
          <w:szCs w:val="18"/>
          <w:lang w:val="pl-PL"/>
        </w:rPr>
        <w:t>Lo</w:t>
      </w:r>
      <w:proofErr w:type="spellEnd"/>
      <w:r w:rsidRPr="008B42E2">
        <w:rPr>
          <w:rFonts w:ascii="Century Gothic" w:hAnsi="Century Gothic" w:cs="Tahoma"/>
          <w:color w:val="008364"/>
          <w:sz w:val="18"/>
          <w:szCs w:val="18"/>
        </w:rPr>
        <w:t>k</w:t>
      </w:r>
      <w:r>
        <w:rPr>
          <w:rFonts w:ascii="Century Gothic" w:hAnsi="Century Gothic" w:cs="Tahoma"/>
          <w:color w:val="008364"/>
          <w:sz w:val="18"/>
          <w:szCs w:val="18"/>
          <w:lang w:val="pl-PL"/>
        </w:rPr>
        <w:t>ata terminowa ZWYKŁA</w:t>
      </w:r>
      <w:bookmarkEnd w:id="11"/>
    </w:p>
    <w:tbl>
      <w:tblPr>
        <w:tblW w:w="10348" w:type="dxa"/>
        <w:tblInd w:w="30" w:type="dxa"/>
        <w:tblBorders>
          <w:top w:val="single" w:sz="18" w:space="0" w:color="CAD238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2693"/>
        <w:gridCol w:w="3402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Rodzaj lokaty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  <w:t>Minimalna kwota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</w:trPr>
        <w:tc>
          <w:tcPr>
            <w:tcW w:w="4253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100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 xml:space="preserve"> PLN 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0,75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2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0,85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1,05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6-miesięczna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1,1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0%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9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1,20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12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1,55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24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1,75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36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1,95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6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>0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1,95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345" w:rsidRPr="00714E31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120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2,05</w:t>
            </w:r>
            <w:r w:rsidRPr="008B42E2">
              <w:rPr>
                <w:rFonts w:ascii="Century Gothic" w:hAnsi="Century Gothic" w:cs="Tahoma"/>
                <w:sz w:val="18"/>
                <w:szCs w:val="18"/>
              </w:rPr>
              <w:t>%</w:t>
            </w:r>
          </w:p>
        </w:tc>
      </w:tr>
    </w:tbl>
    <w:p w:rsidR="00282345" w:rsidRDefault="00282345" w:rsidP="00282345">
      <w:pPr>
        <w:rPr>
          <w:rFonts w:ascii="Century Gothic" w:hAnsi="Century Gothic"/>
        </w:rPr>
      </w:pP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/>
        </w:rPr>
      </w:pPr>
      <w:bookmarkStart w:id="12" w:name="_Toc450134684"/>
      <w:r>
        <w:rPr>
          <w:rFonts w:ascii="Century Gothic" w:hAnsi="Century Gothic" w:cs="Tahoma"/>
          <w:color w:val="008364"/>
          <w:sz w:val="18"/>
          <w:szCs w:val="18"/>
        </w:rPr>
        <w:t xml:space="preserve">Lokata </w:t>
      </w:r>
      <w:r>
        <w:rPr>
          <w:rFonts w:ascii="Century Gothic" w:hAnsi="Century Gothic" w:cs="Tahoma"/>
          <w:color w:val="008364"/>
          <w:sz w:val="18"/>
          <w:szCs w:val="18"/>
          <w:lang w:val="pl-PL"/>
        </w:rPr>
        <w:t>oszczędnościowa terminowa ZWYKŁA w walutach wymienialnych</w:t>
      </w:r>
      <w:bookmarkEnd w:id="12"/>
      <w:r>
        <w:rPr>
          <w:rFonts w:ascii="Century Gothic" w:hAnsi="Century Gothic" w:cs="Tahoma"/>
          <w:color w:val="008364"/>
          <w:sz w:val="18"/>
          <w:szCs w:val="18"/>
          <w:lang w:val="pl-PL"/>
        </w:rPr>
        <w:t xml:space="preserve"> </w:t>
      </w:r>
    </w:p>
    <w:tbl>
      <w:tblPr>
        <w:tblW w:w="10348" w:type="dxa"/>
        <w:tblInd w:w="30" w:type="dxa"/>
        <w:tblBorders>
          <w:top w:val="single" w:sz="18" w:space="0" w:color="CAD238"/>
          <w:bottom w:val="single" w:sz="2" w:space="0" w:color="auto"/>
          <w:insideH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2693"/>
        <w:gridCol w:w="1701"/>
        <w:gridCol w:w="1701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Rodzaj lokaty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  <w:t>Minimalna kwota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/>
                <w:bCs/>
                <w:color w:val="26744D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20"/>
          <w:tblHeader/>
        </w:trPr>
        <w:tc>
          <w:tcPr>
            <w:tcW w:w="4253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color w:val="008364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EURO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100 USD/EURO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0,20%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0,35%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53" w:type="dxa"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ind w:left="112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3</w:t>
            </w:r>
            <w:r w:rsidRPr="008B42E2">
              <w:rPr>
                <w:rFonts w:ascii="Century Gothic" w:hAnsi="Century Gothic" w:cs="Tahoma"/>
                <w:bCs/>
                <w:sz w:val="18"/>
                <w:szCs w:val="18"/>
              </w:rPr>
              <w:t>-miesięczna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0,40%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0,50%</w:t>
            </w:r>
          </w:p>
        </w:tc>
      </w:tr>
    </w:tbl>
    <w:p w:rsidR="00282345" w:rsidRDefault="00282345" w:rsidP="00282345">
      <w:pPr>
        <w:pStyle w:val="Lista"/>
        <w:ind w:left="360" w:firstLine="0"/>
        <w:rPr>
          <w:rFonts w:ascii="Century Gothic" w:hAnsi="Century Gothic"/>
        </w:rPr>
      </w:pPr>
    </w:p>
    <w:p w:rsidR="00282345" w:rsidRPr="00A554AF" w:rsidRDefault="00282345" w:rsidP="00282345">
      <w:pPr>
        <w:rPr>
          <w:rFonts w:ascii="Century Gothic" w:hAnsi="Century Gothic"/>
          <w:sz w:val="18"/>
          <w:szCs w:val="18"/>
        </w:rPr>
      </w:pPr>
    </w:p>
    <w:p w:rsidR="00282345" w:rsidRPr="008B42E2" w:rsidRDefault="00282345" w:rsidP="00282345">
      <w:pPr>
        <w:rPr>
          <w:rFonts w:ascii="Century Gothic" w:hAnsi="Century Gothic"/>
        </w:rPr>
      </w:pPr>
    </w:p>
    <w:p w:rsidR="00282345" w:rsidRPr="00B42E8C" w:rsidRDefault="00282345" w:rsidP="00282345">
      <w:pPr>
        <w:pStyle w:val="Nagwek1"/>
      </w:pPr>
      <w:bookmarkStart w:id="13" w:name="_Toc299614341"/>
      <w:bookmarkStart w:id="14" w:name="_Toc450134685"/>
      <w:r w:rsidRPr="008B42E2">
        <w:rPr>
          <w:rFonts w:ascii="Century Gothic" w:hAnsi="Century Gothic" w:cs="Tahoma"/>
          <w:color w:val="008364"/>
          <w:szCs w:val="20"/>
        </w:rPr>
        <w:t>KARTY KREDYTOWE</w:t>
      </w:r>
      <w:bookmarkEnd w:id="13"/>
      <w:bookmarkEnd w:id="14"/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color w:val="008364"/>
          <w:sz w:val="18"/>
          <w:szCs w:val="18"/>
        </w:rPr>
      </w:pPr>
      <w:bookmarkStart w:id="15" w:name="_Toc299614342"/>
      <w:bookmarkStart w:id="16" w:name="_Toc450134686"/>
      <w:r w:rsidRPr="008B42E2">
        <w:rPr>
          <w:rFonts w:ascii="Century Gothic" w:hAnsi="Century Gothic" w:cs="Tahoma"/>
          <w:color w:val="008364"/>
          <w:sz w:val="18"/>
          <w:szCs w:val="18"/>
        </w:rPr>
        <w:t>Karty kredytowe w złotych</w:t>
      </w:r>
      <w:bookmarkEnd w:id="15"/>
      <w:bookmarkEnd w:id="16"/>
    </w:p>
    <w:tbl>
      <w:tblPr>
        <w:tblW w:w="10206" w:type="dxa"/>
        <w:jc w:val="center"/>
        <w:tblLook w:val="01E0"/>
      </w:tblPr>
      <w:tblGrid>
        <w:gridCol w:w="1001"/>
        <w:gridCol w:w="5946"/>
        <w:gridCol w:w="3259"/>
      </w:tblGrid>
      <w:tr w:rsidR="00282345" w:rsidRPr="008B42E2" w:rsidTr="009E7284">
        <w:trPr>
          <w:trHeight w:val="169"/>
          <w:jc w:val="center"/>
        </w:trPr>
        <w:tc>
          <w:tcPr>
            <w:tcW w:w="1001" w:type="dxa"/>
            <w:vMerge w:val="restart"/>
            <w:tcBorders>
              <w:top w:val="single" w:sz="18" w:space="0" w:color="CAD238"/>
              <w:bottom w:val="single" w:sz="2" w:space="0" w:color="auto"/>
            </w:tcBorders>
            <w:vAlign w:val="center"/>
          </w:tcPr>
          <w:p w:rsidR="00282345" w:rsidRDefault="00282345" w:rsidP="009E7284">
            <w:pPr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5946" w:type="dxa"/>
            <w:vMerge w:val="restart"/>
            <w:tcBorders>
              <w:top w:val="single" w:sz="18" w:space="0" w:color="CAD238"/>
            </w:tcBorders>
            <w:vAlign w:val="center"/>
          </w:tcPr>
          <w:p w:rsidR="00282345" w:rsidRDefault="00282345" w:rsidP="009E7284">
            <w:pPr>
              <w:jc w:val="center"/>
              <w:rPr>
                <w:rFonts w:ascii="Century Gothic" w:hAnsi="Century Gothic" w:cs="Tahoma"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Rodzaj karty</w:t>
            </w:r>
          </w:p>
        </w:tc>
        <w:tc>
          <w:tcPr>
            <w:tcW w:w="3259" w:type="dxa"/>
            <w:tcBorders>
              <w:top w:val="single" w:sz="18" w:space="0" w:color="CAD238"/>
              <w:bottom w:val="single" w:sz="2" w:space="0" w:color="auto"/>
            </w:tcBorders>
            <w:vAlign w:val="center"/>
          </w:tcPr>
          <w:p w:rsidR="00282345" w:rsidRDefault="00282345" w:rsidP="009E7284">
            <w:pPr>
              <w:adjustRightInd w:val="0"/>
              <w:ind w:hanging="16"/>
              <w:jc w:val="center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rPr>
          <w:trHeight w:val="242"/>
          <w:jc w:val="center"/>
        </w:trPr>
        <w:tc>
          <w:tcPr>
            <w:tcW w:w="1001" w:type="dxa"/>
            <w:vMerge/>
            <w:tcBorders>
              <w:bottom w:val="single" w:sz="2" w:space="0" w:color="auto"/>
            </w:tcBorders>
            <w:vAlign w:val="center"/>
          </w:tcPr>
          <w:p w:rsidR="00282345" w:rsidRPr="008B42E2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246E49"/>
                <w:sz w:val="18"/>
                <w:szCs w:val="18"/>
              </w:rPr>
            </w:pPr>
          </w:p>
        </w:tc>
        <w:tc>
          <w:tcPr>
            <w:tcW w:w="5946" w:type="dxa"/>
            <w:vMerge/>
            <w:tcBorders>
              <w:bottom w:val="single" w:sz="2" w:space="0" w:color="auto"/>
            </w:tcBorders>
            <w:vAlign w:val="center"/>
          </w:tcPr>
          <w:p w:rsidR="00282345" w:rsidRPr="008B42E2" w:rsidRDefault="00282345" w:rsidP="009E7284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2345" w:rsidRPr="008B42E2" w:rsidRDefault="00282345" w:rsidP="009E7284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</w:tc>
      </w:tr>
      <w:tr w:rsidR="00282345" w:rsidRPr="008B42E2" w:rsidTr="009E7284">
        <w:trPr>
          <w:jc w:val="center"/>
        </w:trPr>
        <w:tc>
          <w:tcPr>
            <w:tcW w:w="1001" w:type="dxa"/>
            <w:tcBorders>
              <w:top w:val="single" w:sz="2" w:space="0" w:color="auto"/>
              <w:bottom w:val="single" w:sz="2" w:space="0" w:color="auto"/>
            </w:tcBorders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1.</w:t>
            </w:r>
          </w:p>
        </w:tc>
        <w:tc>
          <w:tcPr>
            <w:tcW w:w="5946" w:type="dxa"/>
            <w:tcBorders>
              <w:top w:val="single" w:sz="2" w:space="0" w:color="auto"/>
              <w:bottom w:val="single" w:sz="2" w:space="0" w:color="auto"/>
            </w:tcBorders>
          </w:tcPr>
          <w:p w:rsidR="00282345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Karta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kredytowa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VISA Business Credit/MasterCard  Business Credit</w:t>
            </w:r>
            <w:r>
              <w:rPr>
                <w:rFonts w:ascii="Century Gothic" w:hAnsi="Century Gothic" w:cs="Tahoma"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10,00%</w:t>
            </w:r>
          </w:p>
        </w:tc>
      </w:tr>
      <w:tr w:rsidR="00282345" w:rsidRPr="008B42E2" w:rsidTr="009E7284">
        <w:trPr>
          <w:jc w:val="center"/>
        </w:trPr>
        <w:tc>
          <w:tcPr>
            <w:tcW w:w="1001" w:type="dxa"/>
            <w:tcBorders>
              <w:top w:val="single" w:sz="2" w:space="0" w:color="auto"/>
              <w:bottom w:val="single" w:sz="2" w:space="0" w:color="auto"/>
            </w:tcBorders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2.</w:t>
            </w:r>
          </w:p>
        </w:tc>
        <w:tc>
          <w:tcPr>
            <w:tcW w:w="5946" w:type="dxa"/>
            <w:tcBorders>
              <w:top w:val="single" w:sz="2" w:space="0" w:color="auto"/>
              <w:bottom w:val="single" w:sz="2" w:space="0" w:color="auto"/>
            </w:tcBorders>
          </w:tcPr>
          <w:p w:rsidR="00282345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Karta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kredytowa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VISA Business Credit Gold</w:t>
            </w:r>
            <w:r>
              <w:rPr>
                <w:rFonts w:ascii="Century Gothic" w:hAnsi="Century Gothic" w:cs="Tahoma"/>
                <w:sz w:val="18"/>
                <w:szCs w:val="18"/>
                <w:vertAlign w:val="superscript"/>
                <w:lang w:val="en-US"/>
              </w:rPr>
              <w:t>1)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10,00%</w:t>
            </w:r>
          </w:p>
        </w:tc>
      </w:tr>
    </w:tbl>
    <w:p w:rsidR="00282345" w:rsidRPr="008B42E2" w:rsidRDefault="00282345" w:rsidP="00282345">
      <w:pPr>
        <w:pStyle w:val="Legenda"/>
        <w:numPr>
          <w:ilvl w:val="0"/>
          <w:numId w:val="4"/>
        </w:numPr>
        <w:rPr>
          <w:rFonts w:ascii="Century Gothic" w:hAnsi="Century Gothic"/>
          <w:b w:val="0"/>
          <w:sz w:val="18"/>
          <w:szCs w:val="18"/>
        </w:rPr>
      </w:pPr>
      <w:r w:rsidRPr="008B42E2">
        <w:rPr>
          <w:rFonts w:ascii="Century Gothic" w:hAnsi="Century Gothic"/>
          <w:b w:val="0"/>
          <w:sz w:val="18"/>
          <w:szCs w:val="18"/>
        </w:rPr>
        <w:t xml:space="preserve">Obowiązuje dla transakcji gotówkowych, bezgotówkowych oraz spłat zadłużenia w innym banku. </w:t>
      </w:r>
    </w:p>
    <w:p w:rsidR="00282345" w:rsidRPr="00A554AF" w:rsidRDefault="00282345" w:rsidP="00282345">
      <w:pPr>
        <w:rPr>
          <w:rFonts w:ascii="Century Gothic" w:hAnsi="Century Gothic"/>
        </w:rPr>
      </w:pPr>
    </w:p>
    <w:p w:rsidR="00282345" w:rsidRPr="008B42E2" w:rsidRDefault="00282345" w:rsidP="00282345">
      <w:pPr>
        <w:pStyle w:val="Nagwek1"/>
        <w:rPr>
          <w:rFonts w:ascii="Century Gothic" w:hAnsi="Century Gothic" w:cs="Tahoma"/>
          <w:color w:val="008364"/>
          <w:szCs w:val="20"/>
        </w:rPr>
      </w:pPr>
      <w:bookmarkStart w:id="17" w:name="_Toc450134687"/>
      <w:r w:rsidRPr="00EC4EE1">
        <w:rPr>
          <w:rFonts w:ascii="Century Gothic" w:hAnsi="Century Gothic" w:cs="Tahoma"/>
          <w:color w:val="008364"/>
          <w:szCs w:val="20"/>
        </w:rPr>
        <w:t>KREDYTY</w:t>
      </w:r>
      <w:bookmarkEnd w:id="17"/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sz w:val="18"/>
          <w:szCs w:val="18"/>
        </w:rPr>
      </w:pPr>
      <w:bookmarkStart w:id="18" w:name="_Toc450134688"/>
      <w:r w:rsidRPr="008B42E2">
        <w:rPr>
          <w:rFonts w:ascii="Century Gothic" w:hAnsi="Century Gothic" w:cs="Tahoma"/>
          <w:color w:val="008364"/>
          <w:sz w:val="18"/>
          <w:szCs w:val="18"/>
        </w:rPr>
        <w:t>Szybkie kredyty</w:t>
      </w:r>
      <w:bookmarkEnd w:id="18"/>
    </w:p>
    <w:tbl>
      <w:tblPr>
        <w:tblW w:w="5000" w:type="pct"/>
        <w:tblBorders>
          <w:top w:val="single" w:sz="18" w:space="0" w:color="99CC00"/>
        </w:tblBorders>
        <w:tblCellMar>
          <w:left w:w="30" w:type="dxa"/>
          <w:right w:w="30" w:type="dxa"/>
        </w:tblCellMar>
        <w:tblLook w:val="0000"/>
      </w:tblPr>
      <w:tblGrid>
        <w:gridCol w:w="600"/>
        <w:gridCol w:w="2993"/>
        <w:gridCol w:w="5539"/>
      </w:tblGrid>
      <w:tr w:rsidR="00282345" w:rsidRPr="00D6355B" w:rsidTr="009E728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8" w:type="pct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1639" w:type="pct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11876">
              <w:rPr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3033" w:type="pct"/>
            <w:tcBorders>
              <w:top w:val="single" w:sz="18" w:space="0" w:color="CAD238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hanging="16"/>
              <w:jc w:val="center"/>
              <w:rPr>
                <w:b/>
                <w:bCs/>
                <w:color w:val="26744D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D6355B" w:rsidTr="009E728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28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hanging="1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stałe</w:t>
            </w:r>
          </w:p>
        </w:tc>
      </w:tr>
      <w:tr w:rsidR="00282345" w:rsidRPr="00D6355B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>1</w:t>
            </w:r>
            <w:r w:rsidRPr="00D11876">
              <w:rPr>
                <w:b/>
                <w:bCs/>
                <w:color w:val="008364"/>
                <w:sz w:val="18"/>
                <w:szCs w:val="18"/>
              </w:rPr>
              <w:t>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D11876">
              <w:rPr>
                <w:bCs/>
                <w:color w:val="000000"/>
                <w:sz w:val="18"/>
                <w:szCs w:val="18"/>
              </w:rPr>
              <w:t xml:space="preserve">Kredyt </w:t>
            </w:r>
            <w:r>
              <w:rPr>
                <w:bCs/>
                <w:color w:val="000000"/>
                <w:sz w:val="18"/>
                <w:szCs w:val="18"/>
              </w:rPr>
              <w:t>w rachunku bieżącym MIKRO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</w:t>
            </w:r>
          </w:p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D6355B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Zmienne </w:t>
            </w:r>
          </w:p>
        </w:tc>
      </w:tr>
      <w:tr w:rsidR="00282345" w:rsidRPr="00B025ED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>2</w:t>
            </w:r>
            <w:r w:rsidRPr="00D11876">
              <w:rPr>
                <w:b/>
                <w:bCs/>
                <w:color w:val="008364"/>
                <w:sz w:val="18"/>
                <w:szCs w:val="18"/>
              </w:rPr>
              <w:t>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D11876">
              <w:rPr>
                <w:bCs/>
                <w:sz w:val="18"/>
                <w:szCs w:val="18"/>
              </w:rPr>
              <w:t>Kredyt Szybka Inwestycja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 w:rsidRPr="00B025ED">
              <w:rPr>
                <w:sz w:val="18"/>
                <w:szCs w:val="18"/>
              </w:rPr>
              <w:t xml:space="preserve"> od 0%</w:t>
            </w:r>
          </w:p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B025ED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 xml:space="preserve">2.1        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Kredyt Szybka Inwestycja oferowany w formie KREDYTU FABRYCZNEGO URSUS 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WIBOR 3M+ 2,5%</w:t>
            </w:r>
          </w:p>
        </w:tc>
      </w:tr>
      <w:tr w:rsidR="00282345" w:rsidRPr="00B025ED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>3</w:t>
            </w:r>
            <w:r w:rsidRPr="00D11876">
              <w:rPr>
                <w:b/>
                <w:bCs/>
                <w:color w:val="008364"/>
                <w:sz w:val="18"/>
                <w:szCs w:val="18"/>
              </w:rPr>
              <w:t>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D11876">
              <w:rPr>
                <w:bCs/>
                <w:sz w:val="18"/>
                <w:szCs w:val="18"/>
              </w:rPr>
              <w:t xml:space="preserve">Kredyt Szybka Inwestycja </w:t>
            </w:r>
            <w:r>
              <w:rPr>
                <w:bCs/>
                <w:sz w:val="18"/>
                <w:szCs w:val="18"/>
              </w:rPr>
              <w:t>–</w:t>
            </w:r>
            <w:r w:rsidRPr="00D11876">
              <w:rPr>
                <w:bCs/>
                <w:sz w:val="18"/>
                <w:szCs w:val="18"/>
              </w:rPr>
              <w:t xml:space="preserve"> AGRO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 w:rsidRPr="00B025ED">
              <w:rPr>
                <w:sz w:val="18"/>
                <w:szCs w:val="18"/>
              </w:rPr>
              <w:t xml:space="preserve"> od 0%</w:t>
            </w:r>
          </w:p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B025ED" w:rsidTr="009E728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>3.1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Kredyt Szybka Inwestycja – AGRO  oferowany w formie KREDYTU FABRYCZNEGO URSUS 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WIBOR 3M+ 2,5%</w:t>
            </w:r>
          </w:p>
        </w:tc>
      </w:tr>
    </w:tbl>
    <w:p w:rsidR="00282345" w:rsidRPr="00B025ED" w:rsidRDefault="00282345" w:rsidP="00282345">
      <w:pPr>
        <w:pStyle w:val="Tekstprzypisudolnego"/>
        <w:jc w:val="both"/>
        <w:rPr>
          <w:rFonts w:ascii="Century Gothic" w:hAnsi="Century Gothic" w:cs="Tahoma"/>
        </w:rPr>
      </w:pPr>
    </w:p>
    <w:p w:rsidR="00282345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color w:val="008364"/>
          <w:sz w:val="18"/>
          <w:szCs w:val="18"/>
          <w:lang w:val="pl-PL"/>
        </w:rPr>
      </w:pPr>
      <w:bookmarkStart w:id="19" w:name="_Toc450134689"/>
      <w:r w:rsidRPr="008B42E2">
        <w:rPr>
          <w:rFonts w:ascii="Century Gothic" w:hAnsi="Century Gothic" w:cs="Tahoma"/>
          <w:color w:val="008364"/>
          <w:sz w:val="18"/>
          <w:szCs w:val="18"/>
        </w:rPr>
        <w:lastRenderedPageBreak/>
        <w:t>Kredyty obrotowe</w:t>
      </w:r>
      <w:bookmarkEnd w:id="2"/>
      <w:bookmarkEnd w:id="19"/>
    </w:p>
    <w:tbl>
      <w:tblPr>
        <w:tblW w:w="5000" w:type="pct"/>
        <w:tblBorders>
          <w:top w:val="single" w:sz="18" w:space="0" w:color="99CC00"/>
        </w:tblBorders>
        <w:tblCellMar>
          <w:left w:w="30" w:type="dxa"/>
          <w:right w:w="30" w:type="dxa"/>
        </w:tblCellMar>
        <w:tblLook w:val="0000"/>
      </w:tblPr>
      <w:tblGrid>
        <w:gridCol w:w="600"/>
        <w:gridCol w:w="2993"/>
        <w:gridCol w:w="1797"/>
        <w:gridCol w:w="1947"/>
        <w:gridCol w:w="1795"/>
      </w:tblGrid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466"/>
          <w:tblHeader/>
        </w:trPr>
        <w:tc>
          <w:tcPr>
            <w:tcW w:w="328" w:type="pc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1639" w:type="pc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11876">
              <w:rPr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3033" w:type="pct"/>
            <w:gridSpan w:val="3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hanging="16"/>
              <w:jc w:val="center"/>
              <w:rPr>
                <w:b/>
                <w:bCs/>
                <w:color w:val="26744D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28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1.</w:t>
            </w:r>
          </w:p>
        </w:tc>
        <w:tc>
          <w:tcPr>
            <w:tcW w:w="1639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D11876">
              <w:rPr>
                <w:bCs/>
                <w:sz w:val="18"/>
                <w:szCs w:val="18"/>
              </w:rPr>
              <w:t xml:space="preserve">Kredyt w rachunku bieżącym 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stałe</w:t>
            </w:r>
          </w:p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28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6%</w:t>
            </w:r>
          </w:p>
          <w:p w:rsidR="00282345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zmienne</w:t>
            </w:r>
          </w:p>
        </w:tc>
      </w:tr>
      <w:tr w:rsidR="00282345" w:rsidRPr="005D2DE9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0A13D1">
              <w:rPr>
                <w:b/>
                <w:bCs/>
                <w:color w:val="008364"/>
                <w:sz w:val="18"/>
                <w:szCs w:val="18"/>
              </w:rPr>
              <w:t>2.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left="88"/>
              <w:rPr>
                <w:sz w:val="18"/>
                <w:szCs w:val="18"/>
                <w:vertAlign w:val="superscript"/>
              </w:rPr>
            </w:pPr>
            <w:r w:rsidRPr="000A13D1">
              <w:rPr>
                <w:sz w:val="18"/>
                <w:szCs w:val="18"/>
              </w:rPr>
              <w:t>Kredyt obrotowy</w:t>
            </w:r>
            <w:r w:rsidRPr="000A13D1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A13D1">
              <w:rPr>
                <w:sz w:val="18"/>
                <w:szCs w:val="18"/>
                <w:lang w:val="en-US"/>
              </w:rPr>
              <w:t>Stawka</w:t>
            </w:r>
            <w:proofErr w:type="spellEnd"/>
            <w:r w:rsidRPr="000A13D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3D1">
              <w:rPr>
                <w:sz w:val="18"/>
                <w:szCs w:val="18"/>
                <w:lang w:val="en-US"/>
              </w:rPr>
              <w:t>bazowa</w:t>
            </w:r>
            <w:proofErr w:type="spellEnd"/>
            <w:r w:rsidRPr="000A13D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13D1">
              <w:rPr>
                <w:sz w:val="18"/>
                <w:szCs w:val="18"/>
                <w:lang w:val="en-US"/>
              </w:rPr>
              <w:t>Banku+marża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0,50%</w:t>
            </w:r>
          </w:p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br/>
            </w:r>
            <w:r w:rsidRPr="000A13D1">
              <w:rPr>
                <w:b/>
                <w:bCs/>
                <w:color w:val="008364"/>
                <w:sz w:val="18"/>
                <w:szCs w:val="18"/>
              </w:rPr>
              <w:t>3.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0A13D1">
              <w:rPr>
                <w:bCs/>
                <w:sz w:val="18"/>
                <w:szCs w:val="18"/>
              </w:rPr>
              <w:t xml:space="preserve">Kredyt obrotowy na zakup środków do produkcji rolnej- nawozowy </w:t>
            </w:r>
          </w:p>
          <w:p w:rsidR="00282345" w:rsidRPr="000A13D1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0A13D1">
              <w:rPr>
                <w:bCs/>
                <w:sz w:val="18"/>
                <w:szCs w:val="18"/>
              </w:rPr>
              <w:t>(maksymalna kwota kredytu ustalona w sposób ryczałtowy)</w:t>
            </w:r>
          </w:p>
        </w:tc>
        <w:tc>
          <w:tcPr>
            <w:tcW w:w="9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0A13D1">
              <w:rPr>
                <w:sz w:val="18"/>
                <w:szCs w:val="18"/>
              </w:rPr>
              <w:t>8,50%</w:t>
            </w:r>
          </w:p>
        </w:tc>
        <w:tc>
          <w:tcPr>
            <w:tcW w:w="9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stałe</w:t>
            </w:r>
          </w:p>
        </w:tc>
        <w:tc>
          <w:tcPr>
            <w:tcW w:w="98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5D2DE9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0A13D1">
              <w:rPr>
                <w:b/>
                <w:bCs/>
                <w:color w:val="008364"/>
                <w:sz w:val="18"/>
                <w:szCs w:val="18"/>
              </w:rPr>
              <w:t>4.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0A13D1">
              <w:rPr>
                <w:bCs/>
                <w:sz w:val="18"/>
                <w:szCs w:val="18"/>
              </w:rPr>
              <w:t xml:space="preserve">Kredyt rewolwingowy 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6%</w:t>
            </w:r>
          </w:p>
          <w:p w:rsidR="00282345" w:rsidRPr="000A13D1" w:rsidRDefault="00282345" w:rsidP="009E7284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D11876">
              <w:rPr>
                <w:b/>
                <w:bCs/>
                <w:color w:val="008364"/>
                <w:sz w:val="18"/>
                <w:szCs w:val="18"/>
              </w:rPr>
              <w:t>6.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330C1B" w:rsidRDefault="00282345" w:rsidP="009E7284">
            <w:pPr>
              <w:adjustRightInd w:val="0"/>
              <w:ind w:left="88"/>
              <w:rPr>
                <w:bCs/>
                <w:color w:val="000000"/>
                <w:sz w:val="18"/>
                <w:szCs w:val="18"/>
                <w:vertAlign w:val="superscript"/>
              </w:rPr>
            </w:pPr>
            <w:r w:rsidRPr="00D11876">
              <w:rPr>
                <w:sz w:val="18"/>
                <w:szCs w:val="18"/>
              </w:rPr>
              <w:t>Kredyt Agro Skup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 w:rsidRPr="00B025ED">
              <w:rPr>
                <w:sz w:val="18"/>
                <w:szCs w:val="18"/>
              </w:rPr>
              <w:t xml:space="preserve"> od 0%</w:t>
            </w:r>
          </w:p>
          <w:p w:rsidR="00282345" w:rsidRPr="00D11876" w:rsidRDefault="00282345" w:rsidP="009E7284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82345" w:rsidRPr="00D11876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D11876" w:rsidTr="009E72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D11876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 xml:space="preserve">7. 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C45EF8" w:rsidRDefault="00282345" w:rsidP="009E7284">
            <w:pPr>
              <w:adjustRightInd w:val="0"/>
              <w:ind w:left="88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Ratalna spłata zadłużenia 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033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 w:rsidRPr="00B025ED">
              <w:rPr>
                <w:sz w:val="18"/>
                <w:szCs w:val="18"/>
              </w:rPr>
              <w:t xml:space="preserve"> od </w:t>
            </w:r>
            <w:r>
              <w:rPr>
                <w:sz w:val="18"/>
                <w:szCs w:val="18"/>
              </w:rPr>
              <w:t>1,5</w:t>
            </w:r>
            <w:r w:rsidRPr="00B025ED">
              <w:rPr>
                <w:sz w:val="18"/>
                <w:szCs w:val="18"/>
              </w:rPr>
              <w:t>%</w:t>
            </w:r>
          </w:p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WIBOR + 5,5%</w:t>
            </w:r>
          </w:p>
        </w:tc>
      </w:tr>
    </w:tbl>
    <w:p w:rsidR="00282345" w:rsidRDefault="00282345" w:rsidP="00282345">
      <w:pPr>
        <w:rPr>
          <w:rFonts w:ascii="Century Gothic" w:hAnsi="Century Gothic"/>
          <w:sz w:val="16"/>
          <w:szCs w:val="16"/>
        </w:rPr>
      </w:pPr>
      <w:r w:rsidRPr="00330C1B">
        <w:rPr>
          <w:rFonts w:ascii="Century Gothic" w:hAnsi="Century Gothic"/>
          <w:sz w:val="16"/>
          <w:szCs w:val="16"/>
          <w:lang/>
        </w:rPr>
        <w:t>1)</w:t>
      </w:r>
      <w:r w:rsidRPr="00330C1B">
        <w:rPr>
          <w:rFonts w:ascii="Century Gothic" w:hAnsi="Century Gothic"/>
          <w:sz w:val="16"/>
          <w:szCs w:val="16"/>
        </w:rPr>
        <w:t>Indywidualnie stawka procentowa może być oparta o WIBOR 1M/WIBOR3M +marża</w:t>
      </w:r>
    </w:p>
    <w:p w:rsidR="00282345" w:rsidRPr="00330C1B" w:rsidRDefault="00282345" w:rsidP="002823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2) oprocentowanie uzależnione od indywidualnej decyzji w sprawie ratalnej spłaty zadłużenia </w:t>
      </w:r>
    </w:p>
    <w:p w:rsidR="00282345" w:rsidRPr="008A7A88" w:rsidRDefault="00282345" w:rsidP="00282345">
      <w:pPr>
        <w:rPr>
          <w:lang/>
        </w:rPr>
      </w:pPr>
    </w:p>
    <w:p w:rsidR="00282345" w:rsidRPr="008B42E2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sz w:val="18"/>
          <w:szCs w:val="18"/>
        </w:rPr>
      </w:pPr>
      <w:bookmarkStart w:id="20" w:name="_Toc234893375"/>
      <w:bookmarkStart w:id="21" w:name="_Toc450134690"/>
      <w:r w:rsidRPr="008B42E2">
        <w:rPr>
          <w:rFonts w:ascii="Century Gothic" w:hAnsi="Century Gothic" w:cs="Tahoma"/>
          <w:color w:val="008364"/>
          <w:sz w:val="18"/>
          <w:szCs w:val="18"/>
        </w:rPr>
        <w:t>Kredyty inwestycyjne</w:t>
      </w:r>
      <w:bookmarkEnd w:id="21"/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00"/>
        <w:gridCol w:w="2993"/>
        <w:gridCol w:w="5539"/>
      </w:tblGrid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328" w:type="pct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bookmarkStart w:id="22" w:name="_Toc234893376"/>
            <w:bookmarkStart w:id="23" w:name="_Toc255210483"/>
            <w:bookmarkEnd w:id="20"/>
            <w:r w:rsidRPr="001E77B4">
              <w:rPr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1639" w:type="pct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E77B4">
              <w:rPr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3033" w:type="pct"/>
            <w:tcBorders>
              <w:top w:val="single" w:sz="18" w:space="0" w:color="CAD238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hanging="16"/>
              <w:jc w:val="center"/>
              <w:rPr>
                <w:b/>
                <w:bCs/>
                <w:color w:val="26744D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8"/>
          <w:tblHeader/>
        </w:trPr>
        <w:tc>
          <w:tcPr>
            <w:tcW w:w="328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</w:p>
        </w:tc>
        <w:tc>
          <w:tcPr>
            <w:tcW w:w="1639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zmienne</w:t>
            </w:r>
          </w:p>
          <w:p w:rsidR="00282345" w:rsidRPr="001E77B4" w:rsidRDefault="00282345" w:rsidP="009E7284">
            <w:pPr>
              <w:adjustRightInd w:val="0"/>
              <w:ind w:hanging="16"/>
              <w:jc w:val="center"/>
              <w:rPr>
                <w:bCs/>
                <w:sz w:val="18"/>
                <w:szCs w:val="18"/>
              </w:rPr>
            </w:pPr>
          </w:p>
        </w:tc>
      </w:tr>
      <w:tr w:rsidR="00282345" w:rsidRPr="00B025ED" w:rsidTr="009E728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1.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330C1B" w:rsidRDefault="00282345" w:rsidP="009E7284">
            <w:pPr>
              <w:adjustRightInd w:val="0"/>
              <w:ind w:left="88"/>
              <w:rPr>
                <w:sz w:val="18"/>
                <w:szCs w:val="18"/>
                <w:vertAlign w:val="superscript"/>
              </w:rPr>
            </w:pPr>
            <w:r w:rsidRPr="001E77B4">
              <w:rPr>
                <w:bCs/>
                <w:sz w:val="18"/>
                <w:szCs w:val="18"/>
              </w:rPr>
              <w:t xml:space="preserve">Kredyt inwestycyjny </w:t>
            </w:r>
            <w:r>
              <w:rPr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 w:rsidRPr="00B025ED">
              <w:rPr>
                <w:sz w:val="18"/>
                <w:szCs w:val="18"/>
              </w:rPr>
              <w:t xml:space="preserve"> od 0</w:t>
            </w:r>
            <w:r>
              <w:rPr>
                <w:sz w:val="18"/>
                <w:szCs w:val="18"/>
              </w:rPr>
              <w:t>,50</w:t>
            </w:r>
            <w:r w:rsidRPr="00B025ED">
              <w:rPr>
                <w:sz w:val="18"/>
                <w:szCs w:val="18"/>
              </w:rPr>
              <w:t>%</w:t>
            </w: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28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2.</w:t>
            </w:r>
          </w:p>
        </w:tc>
        <w:tc>
          <w:tcPr>
            <w:tcW w:w="467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Kredytowa linia hipoteczna</w:t>
            </w:r>
            <w:r w:rsidRPr="001E77B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Cs/>
                <w:color w:val="008364"/>
                <w:sz w:val="18"/>
                <w:szCs w:val="18"/>
              </w:rPr>
            </w:pPr>
            <w:r w:rsidRPr="001E77B4">
              <w:rPr>
                <w:bCs/>
                <w:color w:val="008364"/>
                <w:sz w:val="18"/>
                <w:szCs w:val="18"/>
              </w:rPr>
              <w:t>2.1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do 3 lat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330C1B">
              <w:rPr>
                <w:sz w:val="18"/>
                <w:szCs w:val="18"/>
              </w:rPr>
              <w:t xml:space="preserve">WIBOR 3M </w:t>
            </w:r>
            <w:r w:rsidRPr="00330C1B">
              <w:rPr>
                <w:sz w:val="18"/>
                <w:szCs w:val="18"/>
              </w:rPr>
              <w:br/>
              <w:t xml:space="preserve">+ marża od </w:t>
            </w:r>
            <w:r>
              <w:rPr>
                <w:sz w:val="18"/>
                <w:szCs w:val="18"/>
              </w:rPr>
              <w:t>4</w:t>
            </w:r>
            <w:r w:rsidRPr="00330C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330C1B">
              <w:rPr>
                <w:sz w:val="18"/>
                <w:szCs w:val="18"/>
              </w:rPr>
              <w:t xml:space="preserve">0 </w:t>
            </w:r>
            <w:proofErr w:type="spellStart"/>
            <w:r w:rsidRPr="00330C1B">
              <w:rPr>
                <w:sz w:val="18"/>
                <w:szCs w:val="18"/>
              </w:rPr>
              <w:t>p.p</w:t>
            </w:r>
            <w:proofErr w:type="spellEnd"/>
            <w:r w:rsidRPr="00330C1B">
              <w:rPr>
                <w:sz w:val="18"/>
                <w:szCs w:val="18"/>
              </w:rPr>
              <w:t>.</w:t>
            </w:r>
          </w:p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Cs/>
                <w:color w:val="008364"/>
                <w:sz w:val="18"/>
                <w:szCs w:val="18"/>
              </w:rPr>
            </w:pPr>
            <w:r w:rsidRPr="001E77B4">
              <w:rPr>
                <w:bCs/>
                <w:color w:val="008364"/>
                <w:sz w:val="18"/>
                <w:szCs w:val="18"/>
              </w:rPr>
              <w:t>2.2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od 3 do 5 lat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330C1B">
              <w:rPr>
                <w:sz w:val="18"/>
                <w:szCs w:val="18"/>
              </w:rPr>
              <w:t xml:space="preserve">WIBOR 3M </w:t>
            </w:r>
            <w:r w:rsidRPr="00330C1B">
              <w:rPr>
                <w:sz w:val="18"/>
                <w:szCs w:val="18"/>
              </w:rPr>
              <w:br/>
              <w:t xml:space="preserve">+ marża od </w:t>
            </w:r>
            <w:r>
              <w:rPr>
                <w:sz w:val="18"/>
                <w:szCs w:val="18"/>
              </w:rPr>
              <w:t>4</w:t>
            </w:r>
            <w:r w:rsidRPr="00330C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75</w:t>
            </w:r>
            <w:r w:rsidRPr="00330C1B">
              <w:rPr>
                <w:sz w:val="18"/>
                <w:szCs w:val="18"/>
              </w:rPr>
              <w:t xml:space="preserve"> </w:t>
            </w:r>
            <w:proofErr w:type="spellStart"/>
            <w:r w:rsidRPr="00330C1B">
              <w:rPr>
                <w:sz w:val="18"/>
                <w:szCs w:val="18"/>
              </w:rPr>
              <w:t>p.p</w:t>
            </w:r>
            <w:proofErr w:type="spellEnd"/>
            <w:r w:rsidRPr="00330C1B">
              <w:rPr>
                <w:sz w:val="18"/>
                <w:szCs w:val="18"/>
              </w:rPr>
              <w:t>.</w:t>
            </w:r>
          </w:p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Cs/>
                <w:color w:val="008364"/>
                <w:sz w:val="18"/>
                <w:szCs w:val="18"/>
              </w:rPr>
            </w:pPr>
            <w:r w:rsidRPr="001E77B4">
              <w:rPr>
                <w:bCs/>
                <w:color w:val="008364"/>
                <w:sz w:val="18"/>
                <w:szCs w:val="18"/>
              </w:rPr>
              <w:t>2.3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powyżej 5 lat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330C1B">
              <w:rPr>
                <w:sz w:val="18"/>
                <w:szCs w:val="18"/>
              </w:rPr>
              <w:t xml:space="preserve">WIBOR 3M </w:t>
            </w:r>
            <w:r w:rsidRPr="00330C1B">
              <w:rPr>
                <w:sz w:val="18"/>
                <w:szCs w:val="18"/>
              </w:rPr>
              <w:br/>
              <w:t xml:space="preserve">+ marża od </w:t>
            </w:r>
            <w:r>
              <w:rPr>
                <w:sz w:val="18"/>
                <w:szCs w:val="18"/>
              </w:rPr>
              <w:t>5</w:t>
            </w:r>
            <w:r w:rsidRPr="00330C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330C1B">
              <w:rPr>
                <w:sz w:val="18"/>
                <w:szCs w:val="18"/>
              </w:rPr>
              <w:t xml:space="preserve">0 </w:t>
            </w:r>
            <w:proofErr w:type="spellStart"/>
            <w:r w:rsidRPr="00330C1B">
              <w:rPr>
                <w:sz w:val="18"/>
                <w:szCs w:val="18"/>
              </w:rPr>
              <w:t>p.p</w:t>
            </w:r>
            <w:proofErr w:type="spellEnd"/>
            <w:r w:rsidRPr="00330C1B">
              <w:rPr>
                <w:sz w:val="18"/>
                <w:szCs w:val="18"/>
              </w:rPr>
              <w:t>.</w:t>
            </w:r>
          </w:p>
          <w:p w:rsidR="00282345" w:rsidRPr="00330C1B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3.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bCs/>
                <w:sz w:val="18"/>
                <w:szCs w:val="18"/>
              </w:rPr>
            </w:pPr>
            <w:r w:rsidRPr="001E77B4">
              <w:rPr>
                <w:bCs/>
                <w:sz w:val="18"/>
                <w:szCs w:val="18"/>
              </w:rPr>
              <w:t xml:space="preserve">Kredyt Wspólny Remont 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WIBOR 3</w:t>
            </w:r>
            <w:r w:rsidRPr="001E77B4">
              <w:rPr>
                <w:sz w:val="18"/>
                <w:szCs w:val="18"/>
              </w:rPr>
              <w:t xml:space="preserve">M </w:t>
            </w:r>
            <w:r w:rsidRPr="001E77B4">
              <w:rPr>
                <w:sz w:val="18"/>
                <w:szCs w:val="18"/>
              </w:rPr>
              <w:br/>
              <w:t xml:space="preserve">+ marża od </w:t>
            </w:r>
            <w:r>
              <w:rPr>
                <w:sz w:val="18"/>
                <w:szCs w:val="18"/>
              </w:rPr>
              <w:t>4</w:t>
            </w:r>
            <w:r w:rsidRPr="001E77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1E77B4">
              <w:rPr>
                <w:sz w:val="18"/>
                <w:szCs w:val="18"/>
              </w:rPr>
              <w:t xml:space="preserve">0 </w:t>
            </w:r>
            <w:proofErr w:type="spellStart"/>
            <w:r w:rsidRPr="001E77B4">
              <w:rPr>
                <w:sz w:val="18"/>
                <w:szCs w:val="18"/>
              </w:rPr>
              <w:t>p.p</w:t>
            </w:r>
            <w:proofErr w:type="spellEnd"/>
            <w:r w:rsidRPr="001E77B4">
              <w:rPr>
                <w:sz w:val="18"/>
                <w:szCs w:val="18"/>
              </w:rPr>
              <w:t>.</w:t>
            </w: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9C1C75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>
              <w:rPr>
                <w:b/>
                <w:bCs/>
                <w:color w:val="008364"/>
                <w:sz w:val="18"/>
                <w:szCs w:val="18"/>
              </w:rPr>
              <w:t>4</w:t>
            </w:r>
            <w:r w:rsidRPr="001E77B4">
              <w:rPr>
                <w:b/>
                <w:bCs/>
                <w:color w:val="008364"/>
                <w:sz w:val="18"/>
                <w:szCs w:val="18"/>
              </w:rPr>
              <w:t>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Unia Biznes i Unia Super Biznes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WIBOR 1</w:t>
            </w:r>
            <w:r w:rsidRPr="001E77B4">
              <w:rPr>
                <w:sz w:val="18"/>
                <w:szCs w:val="18"/>
              </w:rPr>
              <w:t xml:space="preserve">M </w:t>
            </w:r>
            <w:r w:rsidRPr="001E77B4">
              <w:rPr>
                <w:sz w:val="18"/>
                <w:szCs w:val="18"/>
              </w:rPr>
              <w:br/>
              <w:t xml:space="preserve">+ marża </w:t>
            </w:r>
            <w:r>
              <w:rPr>
                <w:sz w:val="18"/>
                <w:szCs w:val="18"/>
              </w:rPr>
              <w:t xml:space="preserve">od 3,50 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82345" w:rsidRPr="009C1C75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9C1C75">
              <w:rPr>
                <w:sz w:val="18"/>
                <w:szCs w:val="18"/>
              </w:rPr>
              <w:t xml:space="preserve"> </w:t>
            </w: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6.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Kredyt technologiczny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 xml:space="preserve">WIBOR </w:t>
            </w:r>
            <w:r>
              <w:rPr>
                <w:sz w:val="18"/>
                <w:szCs w:val="18"/>
              </w:rPr>
              <w:t>1M/</w:t>
            </w:r>
            <w:r w:rsidRPr="001E77B4">
              <w:rPr>
                <w:sz w:val="18"/>
                <w:szCs w:val="18"/>
              </w:rPr>
              <w:t xml:space="preserve">3M </w:t>
            </w:r>
            <w:r w:rsidRPr="001E77B4">
              <w:rPr>
                <w:sz w:val="18"/>
                <w:szCs w:val="18"/>
              </w:rPr>
              <w:br/>
              <w:t xml:space="preserve">+ marża od </w:t>
            </w:r>
            <w:r>
              <w:rPr>
                <w:sz w:val="18"/>
                <w:szCs w:val="18"/>
              </w:rPr>
              <w:t>3</w:t>
            </w:r>
            <w:r w:rsidRPr="001E77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1E77B4">
              <w:rPr>
                <w:sz w:val="18"/>
                <w:szCs w:val="18"/>
              </w:rPr>
              <w:t xml:space="preserve">0 </w:t>
            </w:r>
            <w:proofErr w:type="spellStart"/>
            <w:r w:rsidRPr="001E77B4">
              <w:rPr>
                <w:sz w:val="18"/>
                <w:szCs w:val="18"/>
              </w:rPr>
              <w:t>p.p</w:t>
            </w:r>
            <w:proofErr w:type="spellEnd"/>
            <w:r w:rsidRPr="001E77B4">
              <w:rPr>
                <w:sz w:val="18"/>
                <w:szCs w:val="18"/>
              </w:rPr>
              <w:t>.</w:t>
            </w: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7.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88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 xml:space="preserve">Kredyt z premią </w:t>
            </w:r>
            <w:proofErr w:type="spellStart"/>
            <w:r w:rsidRPr="001E77B4">
              <w:rPr>
                <w:sz w:val="18"/>
                <w:szCs w:val="18"/>
              </w:rPr>
              <w:t>termomodernizacyjną</w:t>
            </w:r>
            <w:proofErr w:type="spellEnd"/>
            <w:r w:rsidRPr="001E77B4">
              <w:rPr>
                <w:sz w:val="18"/>
                <w:szCs w:val="18"/>
              </w:rPr>
              <w:t>, remontową lub kompensacyjną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B025ED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 w:rsidRPr="00B025ED">
              <w:rPr>
                <w:sz w:val="18"/>
                <w:szCs w:val="18"/>
              </w:rPr>
              <w:t xml:space="preserve">Stawka bazowa </w:t>
            </w:r>
            <w:proofErr w:type="spellStart"/>
            <w:r w:rsidRPr="00B025ED">
              <w:rPr>
                <w:sz w:val="18"/>
                <w:szCs w:val="18"/>
              </w:rPr>
              <w:t>Banku+marża</w:t>
            </w:r>
            <w:proofErr w:type="spellEnd"/>
            <w:r>
              <w:rPr>
                <w:sz w:val="18"/>
                <w:szCs w:val="18"/>
              </w:rPr>
              <w:t xml:space="preserve"> od 1</w:t>
            </w:r>
            <w:r w:rsidRPr="00B025ED">
              <w:rPr>
                <w:sz w:val="18"/>
                <w:szCs w:val="18"/>
              </w:rPr>
              <w:t>%</w:t>
            </w: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82345" w:rsidRPr="001E77B4" w:rsidTr="009E728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firstLine="113"/>
              <w:rPr>
                <w:b/>
                <w:bCs/>
                <w:color w:val="008364"/>
                <w:sz w:val="18"/>
                <w:szCs w:val="18"/>
              </w:rPr>
            </w:pPr>
            <w:r w:rsidRPr="001E77B4">
              <w:rPr>
                <w:b/>
                <w:bCs/>
                <w:color w:val="008364"/>
                <w:sz w:val="18"/>
                <w:szCs w:val="18"/>
              </w:rPr>
              <w:t>8.</w:t>
            </w:r>
          </w:p>
        </w:tc>
        <w:tc>
          <w:tcPr>
            <w:tcW w:w="16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ind w:left="112"/>
              <w:rPr>
                <w:sz w:val="18"/>
                <w:szCs w:val="18"/>
              </w:rPr>
            </w:pPr>
            <w:r w:rsidRPr="001E77B4">
              <w:rPr>
                <w:sz w:val="18"/>
                <w:szCs w:val="18"/>
              </w:rPr>
              <w:t>Kredyt z dotacją na zakup kolektorów słonecznych</w:t>
            </w:r>
          </w:p>
        </w:tc>
        <w:tc>
          <w:tcPr>
            <w:tcW w:w="30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WIBOR 3M </w:t>
            </w:r>
            <w:r>
              <w:rPr>
                <w:sz w:val="18"/>
                <w:szCs w:val="18"/>
              </w:rPr>
              <w:br/>
              <w:t>+ marża od 3</w:t>
            </w:r>
            <w:r w:rsidRPr="001E77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1E77B4">
              <w:rPr>
                <w:sz w:val="18"/>
                <w:szCs w:val="18"/>
              </w:rPr>
              <w:t xml:space="preserve">0 </w:t>
            </w:r>
            <w:proofErr w:type="spellStart"/>
            <w:r w:rsidRPr="001E77B4">
              <w:rPr>
                <w:sz w:val="18"/>
                <w:szCs w:val="18"/>
              </w:rPr>
              <w:t>p.p</w:t>
            </w:r>
            <w:proofErr w:type="spellEnd"/>
            <w:r w:rsidRPr="001E77B4">
              <w:rPr>
                <w:sz w:val="18"/>
                <w:szCs w:val="18"/>
              </w:rPr>
              <w:t>.</w:t>
            </w:r>
          </w:p>
          <w:p w:rsidR="00282345" w:rsidRPr="001E77B4" w:rsidRDefault="00282345" w:rsidP="009E728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82345" w:rsidRPr="00330C1B" w:rsidRDefault="00282345" w:rsidP="00282345">
      <w:pPr>
        <w:rPr>
          <w:rFonts w:ascii="Century Gothic" w:hAnsi="Century Gothic"/>
          <w:sz w:val="16"/>
          <w:szCs w:val="16"/>
        </w:rPr>
      </w:pPr>
      <w:r w:rsidRPr="00330C1B">
        <w:rPr>
          <w:rFonts w:ascii="Century Gothic" w:hAnsi="Century Gothic"/>
          <w:sz w:val="16"/>
          <w:szCs w:val="16"/>
          <w:lang/>
        </w:rPr>
        <w:t>1)</w:t>
      </w:r>
      <w:r w:rsidRPr="00330C1B">
        <w:rPr>
          <w:rFonts w:ascii="Century Gothic" w:hAnsi="Century Gothic"/>
          <w:sz w:val="16"/>
          <w:szCs w:val="16"/>
        </w:rPr>
        <w:t>Indywidualnie stawka procentowa może być oparta o WIBOR 1M/WIBOR3M +marża</w:t>
      </w:r>
      <w:r>
        <w:rPr>
          <w:rFonts w:ascii="Century Gothic" w:hAnsi="Century Gothic"/>
          <w:sz w:val="16"/>
          <w:szCs w:val="16"/>
        </w:rPr>
        <w:t xml:space="preserve"> </w:t>
      </w:r>
    </w:p>
    <w:p w:rsidR="00282345" w:rsidRPr="008B42E2" w:rsidRDefault="00282345" w:rsidP="00282345">
      <w:pPr>
        <w:rPr>
          <w:rFonts w:ascii="Century Gothic" w:hAnsi="Century Gothic"/>
        </w:rPr>
      </w:pPr>
    </w:p>
    <w:p w:rsidR="00282345" w:rsidRDefault="00282345" w:rsidP="00282345">
      <w:pPr>
        <w:pStyle w:val="Nagwek1"/>
        <w:numPr>
          <w:ilvl w:val="0"/>
          <w:numId w:val="1"/>
        </w:numPr>
        <w:spacing w:after="80"/>
        <w:rPr>
          <w:rFonts w:ascii="Century Gothic" w:hAnsi="Century Gothic" w:cs="Tahoma"/>
          <w:color w:val="008364"/>
          <w:sz w:val="18"/>
          <w:szCs w:val="18"/>
        </w:rPr>
      </w:pPr>
      <w:bookmarkStart w:id="24" w:name="_Toc234893378"/>
      <w:bookmarkStart w:id="25" w:name="_Toc417629181"/>
      <w:bookmarkStart w:id="26" w:name="_Toc450134691"/>
      <w:bookmarkEnd w:id="22"/>
      <w:bookmarkEnd w:id="23"/>
      <w:r>
        <w:rPr>
          <w:rFonts w:ascii="Century Gothic" w:hAnsi="Century Gothic" w:cs="Tahoma"/>
          <w:color w:val="008364"/>
          <w:sz w:val="18"/>
          <w:szCs w:val="18"/>
        </w:rPr>
        <w:lastRenderedPageBreak/>
        <w:t xml:space="preserve">Kredyty preferencyjne z pomocą </w:t>
      </w:r>
      <w:proofErr w:type="spellStart"/>
      <w:r>
        <w:rPr>
          <w:rFonts w:ascii="Century Gothic" w:hAnsi="Century Gothic" w:cs="Tahoma"/>
          <w:color w:val="008364"/>
          <w:sz w:val="18"/>
          <w:szCs w:val="18"/>
        </w:rPr>
        <w:t>ARiMR</w:t>
      </w:r>
      <w:proofErr w:type="spellEnd"/>
      <w:r>
        <w:rPr>
          <w:rFonts w:ascii="Century Gothic" w:hAnsi="Century Gothic" w:cs="Tahoma"/>
          <w:color w:val="008364"/>
          <w:sz w:val="18"/>
          <w:szCs w:val="18"/>
        </w:rPr>
        <w:t xml:space="preserve"> w ramach linii RR, Z, PR, K01, K02, DK01, DK02, </w:t>
      </w:r>
      <w:proofErr w:type="spellStart"/>
      <w:r>
        <w:rPr>
          <w:rFonts w:ascii="Century Gothic" w:hAnsi="Century Gothic" w:cs="Tahoma"/>
          <w:color w:val="008364"/>
          <w:sz w:val="18"/>
          <w:szCs w:val="18"/>
        </w:rPr>
        <w:t>MRcsk</w:t>
      </w:r>
      <w:bookmarkEnd w:id="25"/>
      <w:proofErr w:type="spellEnd"/>
      <w:r>
        <w:rPr>
          <w:rFonts w:ascii="Century Gothic" w:hAnsi="Century Gothic" w:cs="Tahoma"/>
          <w:color w:val="008364"/>
          <w:sz w:val="18"/>
          <w:szCs w:val="18"/>
        </w:rPr>
        <w:t>, KO</w:t>
      </w:r>
      <w:bookmarkEnd w:id="26"/>
    </w:p>
    <w:tbl>
      <w:tblPr>
        <w:tblW w:w="10200" w:type="dxa"/>
        <w:tblBorders>
          <w:top w:val="single" w:sz="18" w:space="0" w:color="99CC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57"/>
        <w:gridCol w:w="5606"/>
        <w:gridCol w:w="3937"/>
      </w:tblGrid>
      <w:tr w:rsidR="00282345" w:rsidTr="009E7284">
        <w:trPr>
          <w:trHeight w:val="450"/>
          <w:tblHeader/>
        </w:trPr>
        <w:tc>
          <w:tcPr>
            <w:tcW w:w="658" w:type="dxa"/>
            <w:tcBorders>
              <w:top w:val="single" w:sz="18" w:space="0" w:color="CAD238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Lp.</w:t>
            </w:r>
          </w:p>
        </w:tc>
        <w:tc>
          <w:tcPr>
            <w:tcW w:w="5609" w:type="dxa"/>
            <w:tcBorders>
              <w:top w:val="single" w:sz="18" w:space="0" w:color="CAD238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3939" w:type="dxa"/>
            <w:tcBorders>
              <w:top w:val="single" w:sz="18" w:space="0" w:color="CAD238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hanging="16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1.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Kredyty preferencyjne z dopłatą do oprocentowania:</w:t>
            </w:r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symbol RR, Z, PR, K01, DK01</w:t>
            </w:r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0,67 x (WIBOR 3M +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marża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2,5 p.p.)</w:t>
            </w: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1.2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symbol K02, DK02</w:t>
            </w:r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  0,50 x (WIBOR 3M +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marża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2,5 p.p.)</w:t>
            </w:r>
            <w:r>
              <w:rPr>
                <w:rFonts w:ascii="Century Gothic" w:hAnsi="Century Gothic" w:cs="Tahoma"/>
                <w:sz w:val="18"/>
                <w:szCs w:val="18"/>
                <w:vertAlign w:val="superscript"/>
                <w:lang w:val="en-US"/>
              </w:rPr>
              <w:t>1)</w:t>
            </w: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1.3        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Symbol ZC</w:t>
            </w:r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2,5%,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przy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czym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przez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2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lata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daty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zawarcia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umowy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kredytu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– 1%</w:t>
            </w: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Kredyt preferencyjny z dopłatą do kapitału – symbol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</w:rPr>
              <w:t>MRcsk</w:t>
            </w:r>
            <w:proofErr w:type="spellEnd"/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WIBOR 3M + marża</w:t>
            </w:r>
          </w:p>
        </w:tc>
      </w:tr>
      <w:tr w:rsidR="00282345" w:rsidTr="009E7284">
        <w:trPr>
          <w:trHeight w:val="242"/>
        </w:trPr>
        <w:tc>
          <w:tcPr>
            <w:tcW w:w="6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firstLine="113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ind w:left="91"/>
              <w:rPr>
                <w:rFonts w:ascii="Century Gothic" w:hAnsi="Century Gothic" w:cs="Tahoma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Kredyt obrotowy nieoprocentowany dla producenta rolnego – symbol KO</w:t>
            </w:r>
            <w:r>
              <w:rPr>
                <w:rFonts w:ascii="Century Gothic" w:hAnsi="Century Gothic" w:cs="Tahoma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9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82345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0 x (WIBOR 3M + </w:t>
            </w:r>
            <w:proofErr w:type="spellStart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>marża</w:t>
            </w:r>
            <w:proofErr w:type="spellEnd"/>
            <w:r>
              <w:rPr>
                <w:rFonts w:ascii="Century Gothic" w:hAnsi="Century Gothic" w:cs="Tahoma"/>
                <w:sz w:val="18"/>
                <w:szCs w:val="18"/>
                <w:lang w:val="en-US"/>
              </w:rPr>
              <w:t xml:space="preserve"> 2,5 p.p.)</w:t>
            </w:r>
          </w:p>
        </w:tc>
      </w:tr>
    </w:tbl>
    <w:p w:rsidR="00282345" w:rsidRDefault="00282345" w:rsidP="00282345">
      <w:pPr>
        <w:pStyle w:val="Legenda"/>
        <w:numPr>
          <w:ilvl w:val="0"/>
          <w:numId w:val="5"/>
        </w:numPr>
        <w:ind w:left="360"/>
        <w:jc w:val="both"/>
        <w:rPr>
          <w:rFonts w:ascii="Century Gothic" w:hAnsi="Century Gothic"/>
          <w:b w:val="0"/>
          <w:sz w:val="16"/>
          <w:lang/>
        </w:rPr>
      </w:pPr>
      <w:r>
        <w:rPr>
          <w:rFonts w:ascii="Century Gothic" w:hAnsi="Century Gothic"/>
          <w:b w:val="0"/>
          <w:sz w:val="16"/>
          <w:lang/>
        </w:rPr>
        <w:t xml:space="preserve">W przypadku braku </w:t>
      </w:r>
      <w:proofErr w:type="spellStart"/>
      <w:r>
        <w:rPr>
          <w:rFonts w:ascii="Century Gothic" w:hAnsi="Century Gothic"/>
          <w:b w:val="0"/>
          <w:sz w:val="16"/>
          <w:lang/>
        </w:rPr>
        <w:t>ubezpieczenia</w:t>
      </w:r>
      <w:proofErr w:type="spellEnd"/>
      <w:r>
        <w:rPr>
          <w:rFonts w:ascii="Century Gothic" w:hAnsi="Century Gothic"/>
          <w:b w:val="0"/>
          <w:sz w:val="16"/>
          <w:lang/>
        </w:rPr>
        <w:t xml:space="preserve"> majątku oprocentowanie jest wyższe i wynosi  0,75 x (WIBOR 3M+2,5 </w:t>
      </w:r>
      <w:proofErr w:type="spellStart"/>
      <w:r>
        <w:rPr>
          <w:rFonts w:ascii="Century Gothic" w:hAnsi="Century Gothic"/>
          <w:b w:val="0"/>
          <w:sz w:val="16"/>
          <w:lang/>
        </w:rPr>
        <w:t>p.p</w:t>
      </w:r>
      <w:proofErr w:type="spellEnd"/>
      <w:r>
        <w:rPr>
          <w:rFonts w:ascii="Century Gothic" w:hAnsi="Century Gothic"/>
          <w:b w:val="0"/>
          <w:sz w:val="16"/>
          <w:lang/>
        </w:rPr>
        <w:t>.).</w:t>
      </w:r>
    </w:p>
    <w:p w:rsidR="00282345" w:rsidRDefault="00282345" w:rsidP="00282345">
      <w:pPr>
        <w:rPr>
          <w:rFonts w:ascii="Calibri" w:hAnsi="Calibri" w:cs="Calibri"/>
          <w:sz w:val="16"/>
          <w:szCs w:val="16"/>
          <w:lang/>
        </w:rPr>
      </w:pPr>
      <w:r>
        <w:rPr>
          <w:rFonts w:ascii="Calibri" w:hAnsi="Calibri" w:cs="Calibri"/>
          <w:sz w:val="16"/>
          <w:szCs w:val="16"/>
          <w:lang/>
        </w:rPr>
        <w:t xml:space="preserve">2)       </w:t>
      </w:r>
      <w:r>
        <w:rPr>
          <w:rFonts w:ascii="Century Gothic" w:hAnsi="Century Gothic" w:cs="Calibri"/>
          <w:sz w:val="16"/>
          <w:szCs w:val="16"/>
          <w:lang/>
        </w:rPr>
        <w:t xml:space="preserve">Oprocentowanie płatne przez </w:t>
      </w:r>
      <w:proofErr w:type="spellStart"/>
      <w:r>
        <w:rPr>
          <w:rFonts w:ascii="Century Gothic" w:hAnsi="Century Gothic" w:cs="Calibri"/>
          <w:sz w:val="16"/>
          <w:szCs w:val="16"/>
          <w:lang/>
        </w:rPr>
        <w:t>ARiMR</w:t>
      </w:r>
      <w:proofErr w:type="spellEnd"/>
      <w:r>
        <w:rPr>
          <w:rFonts w:ascii="Century Gothic" w:hAnsi="Century Gothic" w:cs="Calibri"/>
          <w:sz w:val="16"/>
          <w:szCs w:val="16"/>
          <w:lang/>
        </w:rPr>
        <w:t>.</w:t>
      </w:r>
    </w:p>
    <w:p w:rsidR="00282345" w:rsidRDefault="00282345" w:rsidP="00282345">
      <w:pPr>
        <w:jc w:val="both"/>
        <w:rPr>
          <w:snapToGrid w:val="0"/>
          <w:sz w:val="24"/>
          <w:szCs w:val="24"/>
        </w:rPr>
      </w:pPr>
    </w:p>
    <w:p w:rsidR="00282345" w:rsidRPr="00A554AF" w:rsidRDefault="00282345" w:rsidP="00282345">
      <w:pPr>
        <w:rPr>
          <w:rFonts w:ascii="Century Gothic" w:hAnsi="Century Gothic"/>
        </w:rPr>
      </w:pPr>
    </w:p>
    <w:p w:rsidR="00282345" w:rsidRDefault="00282345" w:rsidP="00282345">
      <w:pPr>
        <w:pStyle w:val="Nagwek1"/>
        <w:rPr>
          <w:rFonts w:ascii="Century Gothic" w:hAnsi="Century Gothic" w:cs="Tahoma"/>
          <w:color w:val="008364"/>
          <w:sz w:val="24"/>
          <w:lang w:val="pl-PL"/>
        </w:rPr>
      </w:pPr>
      <w:bookmarkStart w:id="27" w:name="_Toc271189069"/>
      <w:bookmarkStart w:id="28" w:name="_Toc271189114"/>
      <w:bookmarkEnd w:id="24"/>
    </w:p>
    <w:p w:rsidR="00282345" w:rsidRPr="00A554AF" w:rsidRDefault="00282345" w:rsidP="00282345">
      <w:pPr>
        <w:pStyle w:val="Nagwek1"/>
        <w:rPr>
          <w:rFonts w:ascii="Century Gothic" w:hAnsi="Century Gothic" w:cs="Tahoma"/>
          <w:color w:val="008364"/>
          <w:sz w:val="24"/>
        </w:rPr>
      </w:pPr>
      <w:bookmarkStart w:id="29" w:name="_Toc450134692"/>
      <w:r w:rsidRPr="00A554AF">
        <w:rPr>
          <w:rFonts w:ascii="Century Gothic" w:hAnsi="Century Gothic" w:cs="Tahoma"/>
          <w:color w:val="008364"/>
          <w:sz w:val="24"/>
        </w:rPr>
        <w:t>CZĘŚĆ C. INNE</w:t>
      </w:r>
      <w:bookmarkEnd w:id="29"/>
    </w:p>
    <w:p w:rsidR="00282345" w:rsidRPr="008B42E2" w:rsidRDefault="00282345" w:rsidP="00282345">
      <w:pPr>
        <w:pStyle w:val="Nagwek1"/>
        <w:numPr>
          <w:ilvl w:val="0"/>
          <w:numId w:val="2"/>
        </w:numPr>
        <w:spacing w:after="80"/>
        <w:rPr>
          <w:rFonts w:ascii="Century Gothic" w:hAnsi="Century Gothic" w:cs="Tahoma"/>
          <w:color w:val="246E49"/>
          <w:sz w:val="18"/>
          <w:szCs w:val="18"/>
        </w:rPr>
      </w:pPr>
      <w:bookmarkStart w:id="30" w:name="_Toc450134693"/>
      <w:bookmarkEnd w:id="27"/>
      <w:bookmarkEnd w:id="28"/>
      <w:r w:rsidRPr="008B42E2">
        <w:rPr>
          <w:rFonts w:ascii="Century Gothic" w:hAnsi="Century Gothic" w:cs="Tahoma"/>
          <w:color w:val="008364"/>
          <w:sz w:val="18"/>
          <w:szCs w:val="18"/>
        </w:rPr>
        <w:t>Zadłużenie przeterminowane</w:t>
      </w:r>
      <w:bookmarkEnd w:id="30"/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85"/>
        <w:gridCol w:w="7121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085" w:type="dxa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18" w:space="0" w:color="CAD238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color w:val="246E49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0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sz w:val="18"/>
                <w:szCs w:val="18"/>
              </w:rPr>
              <w:t>Zadłużenie przeterminowane</w:t>
            </w:r>
          </w:p>
        </w:tc>
        <w:tc>
          <w:tcPr>
            <w:tcW w:w="7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9F14B0">
              <w:rPr>
                <w:rFonts w:ascii="Century Gothic" w:hAnsi="Century Gothic" w:cs="Tahoma"/>
                <w:sz w:val="18"/>
                <w:szCs w:val="18"/>
              </w:rPr>
              <w:t>2-krotność odsetek ustawowych za opóźnienie</w:t>
            </w:r>
          </w:p>
        </w:tc>
      </w:tr>
    </w:tbl>
    <w:p w:rsidR="00282345" w:rsidRDefault="00282345" w:rsidP="00282345">
      <w:pPr>
        <w:pStyle w:val="Nagwek1"/>
        <w:rPr>
          <w:rFonts w:ascii="Century Gothic" w:hAnsi="Century Gothic" w:cs="Tahoma"/>
          <w:color w:val="008364"/>
          <w:sz w:val="24"/>
          <w:lang w:val="pl-PL"/>
        </w:rPr>
      </w:pPr>
    </w:p>
    <w:p w:rsidR="00282345" w:rsidRPr="008B42E2" w:rsidRDefault="00282345" w:rsidP="00282345">
      <w:pPr>
        <w:pStyle w:val="Nagwek1"/>
        <w:numPr>
          <w:ilvl w:val="0"/>
          <w:numId w:val="2"/>
        </w:numPr>
        <w:spacing w:after="80"/>
        <w:rPr>
          <w:rFonts w:ascii="Century Gothic" w:hAnsi="Century Gothic" w:cs="Tahoma"/>
          <w:color w:val="246E49"/>
          <w:sz w:val="18"/>
          <w:szCs w:val="18"/>
        </w:rPr>
      </w:pPr>
      <w:bookmarkStart w:id="31" w:name="_Toc450134694"/>
      <w:r>
        <w:rPr>
          <w:rFonts w:ascii="Century Gothic" w:hAnsi="Century Gothic" w:cs="Tahoma"/>
          <w:color w:val="246E49"/>
          <w:sz w:val="18"/>
          <w:szCs w:val="18"/>
          <w:lang w:val="pl-PL"/>
        </w:rPr>
        <w:t>Stawka bazowa banku</w:t>
      </w:r>
      <w:bookmarkEnd w:id="31"/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85"/>
        <w:gridCol w:w="7121"/>
      </w:tblGrid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085" w:type="dxa"/>
            <w:vMerge w:val="restart"/>
            <w:tcBorders>
              <w:top w:val="single" w:sz="18" w:space="0" w:color="CAD238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18" w:space="0" w:color="CAD238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/>
                <w:bCs/>
                <w:color w:val="246E49"/>
                <w:sz w:val="18"/>
                <w:szCs w:val="18"/>
              </w:rPr>
            </w:pPr>
            <w:r w:rsidRPr="008B42E2">
              <w:rPr>
                <w:rFonts w:ascii="Century Gothic" w:hAnsi="Century Gothic" w:cs="Tahoma"/>
                <w:b/>
                <w:bCs/>
                <w:color w:val="008364"/>
                <w:sz w:val="18"/>
                <w:szCs w:val="18"/>
              </w:rPr>
              <w:t>oprocentowanie</w:t>
            </w: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08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zmienne</w:t>
            </w:r>
          </w:p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82345" w:rsidRPr="008B42E2" w:rsidTr="009E72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Stawka bazowa banku </w:t>
            </w:r>
          </w:p>
        </w:tc>
        <w:tc>
          <w:tcPr>
            <w:tcW w:w="71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6,00%</w:t>
            </w:r>
          </w:p>
          <w:p w:rsidR="00282345" w:rsidRPr="008B42E2" w:rsidRDefault="00282345" w:rsidP="009E7284">
            <w:pPr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282345" w:rsidRDefault="00282345" w:rsidP="00282345">
      <w:pPr>
        <w:pStyle w:val="Nagwek1"/>
        <w:rPr>
          <w:rFonts w:ascii="Century Gothic" w:hAnsi="Century Gothic" w:cs="Tahoma"/>
          <w:color w:val="008364"/>
          <w:sz w:val="24"/>
          <w:lang w:val="pl-PL"/>
        </w:rPr>
      </w:pPr>
    </w:p>
    <w:p w:rsidR="0004016B" w:rsidRDefault="0004016B"/>
    <w:sectPr w:rsidR="0004016B" w:rsidSect="000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55"/>
    <w:multiLevelType w:val="hybridMultilevel"/>
    <w:tmpl w:val="0464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374D9"/>
    <w:multiLevelType w:val="hybridMultilevel"/>
    <w:tmpl w:val="936E7380"/>
    <w:lvl w:ilvl="0" w:tplc="7E6A45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40AFB"/>
    <w:multiLevelType w:val="multilevel"/>
    <w:tmpl w:val="D2E88604"/>
    <w:lvl w:ilvl="0">
      <w:start w:val="1"/>
      <w:numFmt w:val="decimal"/>
      <w:suff w:val="space"/>
      <w:lvlText w:val="TAB. %1"/>
      <w:lvlJc w:val="left"/>
      <w:pPr>
        <w:ind w:left="794" w:hanging="794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AB15F6C"/>
    <w:multiLevelType w:val="hybridMultilevel"/>
    <w:tmpl w:val="17766BE0"/>
    <w:lvl w:ilvl="0" w:tplc="08108C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D649DB"/>
    <w:multiLevelType w:val="multilevel"/>
    <w:tmpl w:val="2D126D82"/>
    <w:lvl w:ilvl="0">
      <w:start w:val="1"/>
      <w:numFmt w:val="decimal"/>
      <w:suff w:val="space"/>
      <w:lvlText w:val="TAB. %1"/>
      <w:lvlJc w:val="left"/>
      <w:pPr>
        <w:ind w:left="794" w:hanging="794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2345"/>
    <w:rsid w:val="0004016B"/>
    <w:rsid w:val="0028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4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345"/>
    <w:pPr>
      <w:keepNext/>
      <w:ind w:right="142"/>
      <w:outlineLvl w:val="0"/>
    </w:pPr>
    <w:rPr>
      <w:rFonts w:cs="Times New Roman"/>
      <w:b/>
      <w:bCs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345"/>
    <w:rPr>
      <w:rFonts w:ascii="Arial" w:eastAsia="Times New Roman" w:hAnsi="Arial" w:cs="Times New Roman"/>
      <w:b/>
      <w:bCs/>
      <w:sz w:val="20"/>
      <w:szCs w:val="24"/>
      <w:lang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8234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2345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2345"/>
    <w:rPr>
      <w:color w:val="FF0000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282345"/>
    <w:rPr>
      <w:rFonts w:ascii="Arial" w:eastAsia="Times New Roman" w:hAnsi="Arial" w:cs="Arial"/>
      <w:color w:val="FF0000"/>
      <w:sz w:val="16"/>
      <w:szCs w:val="20"/>
      <w:lang w:eastAsia="pl-PL"/>
    </w:rPr>
  </w:style>
  <w:style w:type="paragraph" w:styleId="Lista">
    <w:name w:val="List"/>
    <w:basedOn w:val="Normalny"/>
    <w:rsid w:val="00282345"/>
    <w:pPr>
      <w:ind w:left="283" w:hanging="283"/>
      <w:contextualSpacing/>
    </w:pPr>
  </w:style>
  <w:style w:type="paragraph" w:styleId="Legenda">
    <w:name w:val="caption"/>
    <w:basedOn w:val="Normalny"/>
    <w:next w:val="Normalny"/>
    <w:qFormat/>
    <w:rsid w:val="00282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1gm</dc:creator>
  <cp:keywords/>
  <dc:description/>
  <cp:lastModifiedBy>1gm</cp:lastModifiedBy>
  <cp:revision>2</cp:revision>
  <dcterms:created xsi:type="dcterms:W3CDTF">2018-08-02T06:48:00Z</dcterms:created>
  <dcterms:modified xsi:type="dcterms:W3CDTF">2018-08-02T06:49:00Z</dcterms:modified>
</cp:coreProperties>
</file>